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4AC9" w14:textId="77777777" w:rsidR="00C72DD5" w:rsidRPr="000925AA" w:rsidRDefault="00000000">
      <w:pPr>
        <w:jc w:val="center"/>
        <w:rPr>
          <w:rFonts w:ascii="Nunito" w:eastAsia="Nunito" w:hAnsi="Nunito" w:cs="Nunito"/>
          <w:b/>
          <w:i/>
          <w:sz w:val="20"/>
          <w:szCs w:val="20"/>
          <w:lang w:val="en-US"/>
        </w:rPr>
      </w:pPr>
      <w:r>
        <w:rPr>
          <w:rFonts w:ascii="Nunito" w:eastAsia="Nunito" w:hAnsi="Nunito" w:cs="Nunito"/>
          <w:b/>
          <w:i/>
          <w:noProof/>
        </w:rPr>
        <mc:AlternateContent>
          <mc:Choice Requires="wps">
            <w:drawing>
              <wp:anchor distT="114300" distB="114300" distL="114300" distR="114300" simplePos="0" relativeHeight="251658240" behindDoc="1" locked="0" layoutInCell="1" hidden="0" allowOverlap="1" wp14:anchorId="08C8F126" wp14:editId="1FD7F49B">
                <wp:simplePos x="0" y="0"/>
                <wp:positionH relativeFrom="page">
                  <wp:posOffset>5426400</wp:posOffset>
                </wp:positionH>
                <wp:positionV relativeFrom="page">
                  <wp:posOffset>1536658</wp:posOffset>
                </wp:positionV>
                <wp:extent cx="1219200" cy="306429"/>
                <wp:effectExtent l="0" t="0" r="0" b="0"/>
                <wp:wrapNone/>
                <wp:docPr id="1" name="Retângulo: Cantos Arredondados 1"/>
                <wp:cNvGraphicFramePr/>
                <a:graphic xmlns:a="http://schemas.openxmlformats.org/drawingml/2006/main">
                  <a:graphicData uri="http://schemas.microsoft.com/office/word/2010/wordprocessingShape">
                    <wps:wsp>
                      <wps:cNvSpPr/>
                      <wps:spPr>
                        <a:xfrm>
                          <a:off x="974850" y="668075"/>
                          <a:ext cx="2454300" cy="1022700"/>
                        </a:xfrm>
                        <a:prstGeom prst="roundRect">
                          <a:avLst>
                            <a:gd name="adj" fmla="val 16667"/>
                          </a:avLst>
                        </a:prstGeom>
                        <a:solidFill>
                          <a:srgbClr val="005928"/>
                        </a:solidFill>
                        <a:ln w="9525" cap="flat" cmpd="sng">
                          <a:solidFill>
                            <a:srgbClr val="000000"/>
                          </a:solidFill>
                          <a:prstDash val="solid"/>
                          <a:round/>
                          <a:headEnd type="none" w="sm" len="sm"/>
                          <a:tailEnd type="none" w="sm" len="sm"/>
                        </a:ln>
                      </wps:spPr>
                      <wps:txbx>
                        <w:txbxContent>
                          <w:p w14:paraId="58062911" w14:textId="77777777" w:rsidR="00C72DD5" w:rsidRDefault="00C72DD5">
                            <w:pPr>
                              <w:spacing w:line="240" w:lineRule="auto"/>
                              <w:jc w:val="center"/>
                              <w:textDirection w:val="btLr"/>
                            </w:pPr>
                          </w:p>
                        </w:txbxContent>
                      </wps:txbx>
                      <wps:bodyPr spcFirstLastPara="1" wrap="square" lIns="91425" tIns="91425" rIns="91425" bIns="91425" anchor="ctr" anchorCtr="0">
                        <a:noAutofit/>
                      </wps:bodyPr>
                    </wps:wsp>
                  </a:graphicData>
                </a:graphic>
              </wp:anchor>
            </w:drawing>
          </mc:Choice>
          <mc:Fallback>
            <w:pict>
              <v:roundrect w14:anchorId="08C8F126" id="Retângulo: Cantos Arredondados 1" o:spid="_x0000_s1026" style="position:absolute;left:0;text-align:left;margin-left:427.3pt;margin-top:121pt;width:96pt;height:24.15pt;z-index:-251658240;visibility:visible;mso-wrap-style:square;mso-wrap-distance-left:9pt;mso-wrap-distance-top:9pt;mso-wrap-distance-right:9pt;mso-wrap-distance-bottom:9pt;mso-position-horizontal:absolute;mso-position-horizontal-relative:page;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" fillcolor="#005928">
                <v:stroke startarrowwidth="narrow" startarrowlength="short" endarrowwidth="narrow" endarrowlength="short"/>
                <v:textbox inset="2.53958mm,2.53958mm,2.53958mm,2.53958mm">
                  <w:txbxContent>
                    <w:p w14:paraId="58062911" w14:textId="77777777" w:rsidR="00C72DD5" w:rsidRDefault="00C72DD5">
                      <w:pPr>
                        <w:spacing w:line="240" w:lineRule="auto"/>
                        <w:jc w:val="center"/>
                        <w:textDirection w:val="btLr"/>
                      </w:pPr>
                    </w:p>
                  </w:txbxContent>
                </v:textbox>
                <w10:wrap anchorx="page" anchory="page"/>
              </v:roundrect>
            </w:pict>
          </mc:Fallback>
        </mc:AlternateContent>
      </w:r>
      <w:r w:rsidRPr="000925AA">
        <w:rPr>
          <w:rFonts w:ascii="Nunito" w:eastAsia="Nunito" w:hAnsi="Nunito" w:cs="Nunito"/>
          <w:b/>
          <w:i/>
          <w:sz w:val="20"/>
          <w:szCs w:val="20"/>
          <w:lang w:val="en-US"/>
        </w:rPr>
        <w:t>4-7 November 2025, Belo Horizonte, MG, Brazil</w:t>
      </w:r>
    </w:p>
    <w:p w14:paraId="5422DA2F" w14:textId="57FF932F" w:rsidR="00C72DD5" w:rsidRPr="000925AA" w:rsidRDefault="000925AA" w:rsidP="000925AA">
      <w:pPr>
        <w:jc w:val="center"/>
        <w:rPr>
          <w:rFonts w:ascii="Nunito" w:eastAsia="Nunito" w:hAnsi="Nunito" w:cs="Nunito"/>
          <w:i/>
          <w:lang w:val="en-US"/>
        </w:rPr>
      </w:pPr>
      <w:r>
        <w:rPr>
          <w:rFonts w:ascii="Nunito" w:eastAsia="Nunito" w:hAnsi="Nunito" w:cs="Nunito"/>
          <w:b/>
          <w:i/>
          <w:color w:val="F3F3F3"/>
          <w:sz w:val="28"/>
          <w:szCs w:val="28"/>
          <w:lang w:val="en-US"/>
        </w:rPr>
        <w:t xml:space="preserve">                                                                                           </w:t>
      </w:r>
      <w:r w:rsidRPr="000925AA">
        <w:rPr>
          <w:rFonts w:ascii="Nunito" w:eastAsia="Nunito" w:hAnsi="Nunito" w:cs="Nunito"/>
          <w:b/>
          <w:i/>
          <w:color w:val="F3F3F3"/>
          <w:sz w:val="28"/>
          <w:szCs w:val="28"/>
          <w:lang w:val="en-US"/>
        </w:rPr>
        <w:t xml:space="preserve">Section: 05    </w:t>
      </w:r>
      <w:r>
        <w:rPr>
          <w:rFonts w:ascii="Nunito" w:eastAsia="Nunito" w:hAnsi="Nunito" w:cs="Nunito"/>
          <w:i/>
          <w:noProof/>
        </w:rPr>
        <w:drawing>
          <wp:anchor distT="0" distB="0" distL="0" distR="0" simplePos="0" relativeHeight="251659264" behindDoc="1" locked="0" layoutInCell="1" hidden="0" allowOverlap="1" wp14:anchorId="3ACFA1D2" wp14:editId="4A7FC204">
            <wp:simplePos x="0" y="0"/>
            <wp:positionH relativeFrom="page">
              <wp:posOffset>1417800</wp:posOffset>
            </wp:positionH>
            <wp:positionV relativeFrom="page">
              <wp:posOffset>88858</wp:posOffset>
            </wp:positionV>
            <wp:extent cx="4724400" cy="14478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l="1896" t="17924" r="3103" b="7944"/>
                    <a:stretch>
                      <a:fillRect/>
                    </a:stretch>
                  </pic:blipFill>
                  <pic:spPr>
                    <a:xfrm>
                      <a:off x="0" y="0"/>
                      <a:ext cx="4724400" cy="1447800"/>
                    </a:xfrm>
                    <a:prstGeom prst="rect">
                      <a:avLst/>
                    </a:prstGeom>
                    <a:ln/>
                  </pic:spPr>
                </pic:pic>
              </a:graphicData>
            </a:graphic>
          </wp:anchor>
        </w:drawing>
      </w:r>
    </w:p>
    <w:p w14:paraId="58191CC2" w14:textId="77777777" w:rsidR="00C72DD5" w:rsidRPr="000925AA" w:rsidRDefault="00000000">
      <w:pPr>
        <w:jc w:val="center"/>
        <w:rPr>
          <w:rFonts w:ascii="Times New Roman" w:eastAsia="Times New Roman" w:hAnsi="Times New Roman" w:cs="Times New Roman"/>
          <w:b/>
          <w:i/>
          <w:sz w:val="24"/>
          <w:szCs w:val="24"/>
          <w:lang w:val="en-US"/>
        </w:rPr>
      </w:pPr>
      <w:r>
        <w:pict w14:anchorId="2242ED4B">
          <v:rect id="_x0000_i1025" style="width:0;height:1.5pt" o:hralign="center" o:hrstd="t" o:hr="t" fillcolor="#a0a0a0" stroked="f"/>
        </w:pict>
      </w:r>
      <w:r w:rsidRPr="000925AA">
        <w:rPr>
          <w:b/>
          <w:i/>
          <w:sz w:val="20"/>
          <w:szCs w:val="20"/>
          <w:lang w:val="en-US"/>
        </w:rPr>
        <w:br/>
      </w:r>
      <w:r w:rsidRPr="000925AA">
        <w:rPr>
          <w:rFonts w:ascii="Times New Roman" w:eastAsia="Times New Roman" w:hAnsi="Times New Roman" w:cs="Times New Roman"/>
          <w:b/>
          <w:i/>
          <w:sz w:val="24"/>
          <w:szCs w:val="24"/>
          <w:lang w:val="en-US"/>
        </w:rPr>
        <w:t xml:space="preserve">METABOLIC PROFILE STUDY OF DIFFERENT SORGHUM GENOTYPES BY </w:t>
      </w:r>
      <w:r w:rsidRPr="000925AA">
        <w:rPr>
          <w:rFonts w:ascii="Times New Roman" w:eastAsia="Times New Roman" w:hAnsi="Times New Roman" w:cs="Times New Roman"/>
          <w:b/>
          <w:i/>
          <w:sz w:val="40"/>
          <w:szCs w:val="40"/>
          <w:vertAlign w:val="superscript"/>
          <w:lang w:val="en-US"/>
        </w:rPr>
        <w:t>1</w:t>
      </w:r>
      <w:r w:rsidRPr="000925AA">
        <w:rPr>
          <w:rFonts w:ascii="Times New Roman" w:eastAsia="Times New Roman" w:hAnsi="Times New Roman" w:cs="Times New Roman"/>
          <w:b/>
          <w:i/>
          <w:sz w:val="24"/>
          <w:szCs w:val="24"/>
          <w:lang w:val="en-US"/>
        </w:rPr>
        <w:t>H NMR</w:t>
      </w:r>
    </w:p>
    <w:p w14:paraId="56711697" w14:textId="77A1F0EC" w:rsidR="00C72DD5" w:rsidRDefault="00000000">
      <w:pPr>
        <w:spacing w:before="240" w:after="240"/>
        <w:jc w:val="center"/>
        <w:rPr>
          <w:rFonts w:ascii="Times New Roman" w:eastAsia="Times New Roman" w:hAnsi="Times New Roman" w:cs="Times New Roman"/>
          <w:sz w:val="24"/>
          <w:szCs w:val="24"/>
          <w:vertAlign w:val="superscript"/>
        </w:rPr>
      </w:pPr>
      <w:proofErr w:type="spellStart"/>
      <w:r w:rsidRPr="008E240D">
        <w:rPr>
          <w:rFonts w:ascii="Times New Roman" w:eastAsia="Times New Roman" w:hAnsi="Times New Roman" w:cs="Times New Roman"/>
          <w:b/>
          <w:bCs/>
          <w:sz w:val="24"/>
          <w:szCs w:val="24"/>
          <w:u w:val="single"/>
        </w:rPr>
        <w:t>Jéssika</w:t>
      </w:r>
      <w:proofErr w:type="spellEnd"/>
      <w:r w:rsidRPr="008E240D">
        <w:rPr>
          <w:rFonts w:ascii="Times New Roman" w:eastAsia="Times New Roman" w:hAnsi="Times New Roman" w:cs="Times New Roman"/>
          <w:b/>
          <w:bCs/>
          <w:sz w:val="24"/>
          <w:szCs w:val="24"/>
          <w:u w:val="single"/>
        </w:rPr>
        <w:t xml:space="preserve"> </w:t>
      </w:r>
      <w:proofErr w:type="spellStart"/>
      <w:r w:rsidRPr="008E240D">
        <w:rPr>
          <w:rFonts w:ascii="Times New Roman" w:eastAsia="Times New Roman" w:hAnsi="Times New Roman" w:cs="Times New Roman"/>
          <w:b/>
          <w:bCs/>
          <w:sz w:val="24"/>
          <w:szCs w:val="24"/>
          <w:u w:val="single"/>
        </w:rPr>
        <w:t>Thayanne</w:t>
      </w:r>
      <w:proofErr w:type="spellEnd"/>
      <w:r w:rsidRPr="008E240D">
        <w:rPr>
          <w:rFonts w:ascii="Times New Roman" w:eastAsia="Times New Roman" w:hAnsi="Times New Roman" w:cs="Times New Roman"/>
          <w:b/>
          <w:bCs/>
          <w:sz w:val="24"/>
          <w:szCs w:val="24"/>
          <w:u w:val="single"/>
        </w:rPr>
        <w:t xml:space="preserve"> da Silva</w:t>
      </w:r>
      <w:r w:rsidRPr="008E240D">
        <w:rPr>
          <w:rFonts w:ascii="Times New Roman" w:eastAsia="Times New Roman" w:hAnsi="Times New Roman" w:cs="Times New Roman"/>
          <w:b/>
          <w:bCs/>
          <w:sz w:val="24"/>
          <w:szCs w:val="24"/>
          <w:vertAlign w:val="superscript"/>
        </w:rPr>
        <w:t>1</w:t>
      </w:r>
      <w:r w:rsidR="008E240D">
        <w:rPr>
          <w:rFonts w:ascii="Times New Roman" w:eastAsia="Times New Roman" w:hAnsi="Times New Roman" w:cs="Times New Roman"/>
          <w:b/>
          <w:bCs/>
          <w:sz w:val="24"/>
          <w:szCs w:val="24"/>
          <w:vertAlign w:val="superscript"/>
        </w:rPr>
        <w:t>*</w:t>
      </w:r>
      <w:r>
        <w:rPr>
          <w:rFonts w:ascii="Times New Roman" w:eastAsia="Times New Roman" w:hAnsi="Times New Roman" w:cs="Times New Roman"/>
          <w:sz w:val="24"/>
          <w:szCs w:val="24"/>
        </w:rPr>
        <w:t>, Pablo Batista Mendes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Maria Lúcia Ferreira Simeone</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Alan Rodrigues Teixeira Machado</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Valéria Aparecida Vieira Queiroz</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Cícero </w:t>
      </w:r>
      <w:proofErr w:type="spellStart"/>
      <w:r>
        <w:rPr>
          <w:rFonts w:ascii="Times New Roman" w:eastAsia="Times New Roman" w:hAnsi="Times New Roman" w:cs="Times New Roman"/>
          <w:sz w:val="24"/>
          <w:szCs w:val="24"/>
        </w:rPr>
        <w:t>Beserra</w:t>
      </w:r>
      <w:proofErr w:type="spellEnd"/>
      <w:r>
        <w:rPr>
          <w:rFonts w:ascii="Times New Roman" w:eastAsia="Times New Roman" w:hAnsi="Times New Roman" w:cs="Times New Roman"/>
          <w:sz w:val="24"/>
          <w:szCs w:val="24"/>
        </w:rPr>
        <w:t xml:space="preserve"> de Menezes</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Lúcia Pinheiro Santos Pimenta</w:t>
      </w:r>
      <w:r>
        <w:rPr>
          <w:rFonts w:ascii="Times New Roman" w:eastAsia="Times New Roman" w:hAnsi="Times New Roman" w:cs="Times New Roman"/>
          <w:sz w:val="24"/>
          <w:szCs w:val="24"/>
          <w:vertAlign w:val="superscript"/>
        </w:rPr>
        <w:t>1</w:t>
      </w:r>
    </w:p>
    <w:p w14:paraId="3364FEB3" w14:textId="216C1F73" w:rsidR="008E240D" w:rsidRPr="008E240D" w:rsidRDefault="008E240D">
      <w:pPr>
        <w:spacing w:before="240" w:after="240"/>
        <w:jc w:val="center"/>
        <w:rPr>
          <w:rFonts w:ascii="Times New Roman" w:eastAsia="Times New Roman" w:hAnsi="Times New Roman" w:cs="Times New Roman"/>
          <w:sz w:val="24"/>
          <w:szCs w:val="24"/>
        </w:rPr>
      </w:pPr>
      <w:r w:rsidRPr="008E240D">
        <w:rPr>
          <w:rFonts w:ascii="Times New Roman" w:eastAsia="Times New Roman" w:hAnsi="Times New Roman" w:cs="Times New Roman"/>
          <w:sz w:val="24"/>
          <w:szCs w:val="24"/>
        </w:rPr>
        <w:t>jessikats@gmail.com</w:t>
      </w:r>
    </w:p>
    <w:p w14:paraId="4B7C9012" w14:textId="77777777" w:rsidR="00C72DD5" w:rsidRDefault="00000000">
      <w:pPr>
        <w:spacing w:before="240"/>
        <w:jc w:val="center"/>
        <w:rPr>
          <w:rFonts w:ascii="Times New Roman" w:eastAsia="Times New Roman" w:hAnsi="Times New Roman" w:cs="Times New Roman"/>
          <w:i/>
        </w:rPr>
      </w:pPr>
      <w:r>
        <w:rPr>
          <w:rFonts w:ascii="Times New Roman" w:eastAsia="Times New Roman" w:hAnsi="Times New Roman" w:cs="Times New Roman"/>
          <w:i/>
        </w:rPr>
        <w:t xml:space="preserve">1-CerQBio, Departamento de Química, </w:t>
      </w:r>
      <w:proofErr w:type="spellStart"/>
      <w:r>
        <w:rPr>
          <w:rFonts w:ascii="Times New Roman" w:eastAsia="Times New Roman" w:hAnsi="Times New Roman" w:cs="Times New Roman"/>
          <w:i/>
        </w:rPr>
        <w:t>ICEx</w:t>
      </w:r>
      <w:proofErr w:type="spellEnd"/>
      <w:r>
        <w:rPr>
          <w:rFonts w:ascii="Times New Roman" w:eastAsia="Times New Roman" w:hAnsi="Times New Roman" w:cs="Times New Roman"/>
          <w:i/>
        </w:rPr>
        <w:t xml:space="preserve">, UFMG, Av. Antônio Carlos, 6627, Belo Horizonte, MG, </w:t>
      </w:r>
      <w:proofErr w:type="spellStart"/>
      <w:r>
        <w:rPr>
          <w:rFonts w:ascii="Times New Roman" w:eastAsia="Times New Roman" w:hAnsi="Times New Roman" w:cs="Times New Roman"/>
          <w:i/>
        </w:rPr>
        <w:t>Brazil</w:t>
      </w:r>
      <w:proofErr w:type="spellEnd"/>
      <w:r>
        <w:rPr>
          <w:rFonts w:ascii="Times New Roman" w:eastAsia="Times New Roman" w:hAnsi="Times New Roman" w:cs="Times New Roman"/>
          <w:i/>
        </w:rPr>
        <w:t xml:space="preserve">. 2-Embrapa Milho e Sorgo, Rod MG 424, Sete Lagoas, MG, 35701-970, </w:t>
      </w:r>
      <w:proofErr w:type="spellStart"/>
      <w:r>
        <w:rPr>
          <w:rFonts w:ascii="Times New Roman" w:eastAsia="Times New Roman" w:hAnsi="Times New Roman" w:cs="Times New Roman"/>
          <w:i/>
        </w:rPr>
        <w:t>Brazil</w:t>
      </w:r>
      <w:proofErr w:type="spellEnd"/>
      <w:r>
        <w:rPr>
          <w:rFonts w:ascii="Times New Roman" w:eastAsia="Times New Roman" w:hAnsi="Times New Roman" w:cs="Times New Roman"/>
          <w:i/>
        </w:rPr>
        <w:t>. 3-</w:t>
      </w:r>
      <w:r>
        <w:rPr>
          <w:rFonts w:ascii="Times New Roman" w:eastAsia="Times New Roman" w:hAnsi="Times New Roman" w:cs="Times New Roman"/>
          <w:i/>
          <w:vertAlign w:val="superscript"/>
        </w:rPr>
        <w:t xml:space="preserve"> </w:t>
      </w:r>
      <w:r>
        <w:rPr>
          <w:rFonts w:ascii="Times New Roman" w:eastAsia="Times New Roman" w:hAnsi="Times New Roman" w:cs="Times New Roman"/>
          <w:i/>
        </w:rPr>
        <w:t xml:space="preserve">Departamento de Ciências Exatas, Universidade do Estado de Minas Gerais, Unidade João Monlevade, João Monlevade, Minas Gerais, 35930-314, </w:t>
      </w:r>
      <w:proofErr w:type="spellStart"/>
      <w:r>
        <w:rPr>
          <w:rFonts w:ascii="Times New Roman" w:eastAsia="Times New Roman" w:hAnsi="Times New Roman" w:cs="Times New Roman"/>
          <w:i/>
        </w:rPr>
        <w:t>Brazil</w:t>
      </w:r>
      <w:proofErr w:type="spellEnd"/>
      <w:r>
        <w:rPr>
          <w:rFonts w:ascii="Times New Roman" w:eastAsia="Times New Roman" w:hAnsi="Times New Roman" w:cs="Times New Roman"/>
          <w:i/>
        </w:rPr>
        <w:t>.</w:t>
      </w:r>
    </w:p>
    <w:p w14:paraId="6C49C884" w14:textId="77777777" w:rsidR="00C72DD5" w:rsidRPr="000925AA" w:rsidRDefault="00000000">
      <w:pPr>
        <w:spacing w:before="240" w:after="240"/>
        <w:ind w:left="-283" w:right="-324"/>
        <w:jc w:val="both"/>
        <w:rPr>
          <w:rFonts w:ascii="Times New Roman" w:eastAsia="Times New Roman" w:hAnsi="Times New Roman" w:cs="Times New Roman"/>
          <w:sz w:val="24"/>
          <w:szCs w:val="24"/>
          <w:lang w:val="en-US"/>
        </w:rPr>
      </w:pPr>
      <w:r w:rsidRPr="000925AA">
        <w:rPr>
          <w:rFonts w:ascii="Times New Roman" w:eastAsia="Times New Roman" w:hAnsi="Times New Roman" w:cs="Times New Roman"/>
          <w:color w:val="0E101A"/>
          <w:sz w:val="24"/>
          <w:szCs w:val="24"/>
          <w:lang w:val="en-US"/>
        </w:rPr>
        <w:t xml:space="preserve">Among the United Nations' seventeen Sustainable Development Goals (SDGs), one ensures access to affordable, reliable, sustainable, and modern energy. Using renewable biomass in products or biofuels as an alternative to fossil fuels meets this goal directly. </w:t>
      </w:r>
      <w:r w:rsidRPr="000925AA">
        <w:rPr>
          <w:rFonts w:ascii="Times New Roman" w:eastAsia="Times New Roman" w:hAnsi="Times New Roman" w:cs="Times New Roman"/>
          <w:sz w:val="24"/>
          <w:szCs w:val="24"/>
          <w:lang w:val="en-US"/>
        </w:rPr>
        <w:t xml:space="preserve">In Brazil, we can highlight ethanol as one of the main renewable fuel sources. Lately, the ethanol industry has become the focus of attention in searching for new raw materials to optimize its production. </w:t>
      </w:r>
      <w:r w:rsidRPr="000925AA">
        <w:rPr>
          <w:rFonts w:ascii="Times New Roman" w:eastAsia="Times New Roman" w:hAnsi="Times New Roman" w:cs="Times New Roman"/>
          <w:i/>
          <w:color w:val="0E101A"/>
          <w:sz w:val="24"/>
          <w:szCs w:val="24"/>
          <w:lang w:val="en-US"/>
        </w:rPr>
        <w:t>Sorghum</w:t>
      </w:r>
      <w:r w:rsidRPr="000925AA">
        <w:rPr>
          <w:rFonts w:ascii="Times New Roman" w:eastAsia="Times New Roman" w:hAnsi="Times New Roman" w:cs="Times New Roman"/>
          <w:color w:val="0E101A"/>
          <w:sz w:val="24"/>
          <w:szCs w:val="24"/>
          <w:lang w:val="en-US"/>
        </w:rPr>
        <w:t xml:space="preserve"> is a wide-world cereal crop known due to its wide adaptability to hard climate conditions, short life cycle, good adaptation to most regions of Brazil, and multiple uses (human food, animal feed, biofuel, and industrial uses). Moreover, all parts of </w:t>
      </w:r>
      <w:r w:rsidRPr="000925AA">
        <w:rPr>
          <w:rFonts w:ascii="Times New Roman" w:eastAsia="Times New Roman" w:hAnsi="Times New Roman" w:cs="Times New Roman"/>
          <w:i/>
          <w:color w:val="0E101A"/>
          <w:sz w:val="24"/>
          <w:szCs w:val="24"/>
          <w:lang w:val="en-US"/>
        </w:rPr>
        <w:t>Sorghum</w:t>
      </w:r>
      <w:r w:rsidRPr="000925AA">
        <w:rPr>
          <w:rFonts w:ascii="Times New Roman" w:eastAsia="Times New Roman" w:hAnsi="Times New Roman" w:cs="Times New Roman"/>
          <w:color w:val="0E101A"/>
          <w:sz w:val="24"/>
          <w:szCs w:val="24"/>
          <w:lang w:val="en-US"/>
        </w:rPr>
        <w:t xml:space="preserve"> can be used as a sustainable feedstock for biofuel production. Four Sorghum genotypes were obtained to increase the productivity and sanity of grains used in bioethanol production. The main differences among them are the tannin contents (SC084, BRS305) and origin: lines (SC084, CMSXS180) or hybrid (BRS501, BRS305). This work aimed to use </w:t>
      </w:r>
      <w:r w:rsidRPr="000925AA">
        <w:rPr>
          <w:rFonts w:ascii="Times New Roman" w:eastAsia="Times New Roman" w:hAnsi="Times New Roman" w:cs="Times New Roman"/>
          <w:color w:val="0E101A"/>
          <w:sz w:val="24"/>
          <w:szCs w:val="24"/>
          <w:vertAlign w:val="superscript"/>
          <w:lang w:val="en-US"/>
        </w:rPr>
        <w:t>1</w:t>
      </w:r>
      <w:r w:rsidRPr="000925AA">
        <w:rPr>
          <w:rFonts w:ascii="Times New Roman" w:eastAsia="Times New Roman" w:hAnsi="Times New Roman" w:cs="Times New Roman"/>
          <w:color w:val="0E101A"/>
          <w:sz w:val="24"/>
          <w:szCs w:val="24"/>
          <w:lang w:val="en-US"/>
        </w:rPr>
        <w:t xml:space="preserve">H NMR-based metabolic profiling coupled with chemometric tools to characterize and distinguish four Sorghum genotypes: SC084, CMSXS180, BRS501, and BRS305. Sample preparation was carried out according to Kim et al. Protocol (2010), the spectroscopic measurements were done using the Bruker Avance Neo 600 MHz NMR equipment, and the chemometrics analysis was performed by the </w:t>
      </w:r>
      <w:proofErr w:type="spellStart"/>
      <w:r w:rsidRPr="000925AA">
        <w:rPr>
          <w:rFonts w:ascii="Times New Roman" w:eastAsia="Times New Roman" w:hAnsi="Times New Roman" w:cs="Times New Roman"/>
          <w:color w:val="0E101A"/>
          <w:sz w:val="24"/>
          <w:szCs w:val="24"/>
          <w:lang w:val="en-US"/>
        </w:rPr>
        <w:t>MetaboAnalyst</w:t>
      </w:r>
      <w:proofErr w:type="spellEnd"/>
      <w:r w:rsidRPr="000925AA">
        <w:rPr>
          <w:rFonts w:ascii="Times New Roman" w:eastAsia="Times New Roman" w:hAnsi="Times New Roman" w:cs="Times New Roman"/>
          <w:color w:val="0E101A"/>
          <w:sz w:val="24"/>
          <w:szCs w:val="24"/>
          <w:lang w:val="en-US"/>
        </w:rPr>
        <w:t xml:space="preserve"> platform. The genotype SC084 showed a metabolic profile quite different from the others by the enhanced presence of flavan-3-ols/anthocyanins, the lower sucrose content compared to BRS501 and BRS305, and the lipid content and composition. </w:t>
      </w:r>
      <w:r w:rsidRPr="000925AA">
        <w:rPr>
          <w:rFonts w:ascii="Times New Roman" w:eastAsia="Times New Roman" w:hAnsi="Times New Roman" w:cs="Times New Roman"/>
          <w:color w:val="0E101A"/>
          <w:sz w:val="24"/>
          <w:szCs w:val="24"/>
          <w:vertAlign w:val="superscript"/>
          <w:lang w:val="en-US"/>
        </w:rPr>
        <w:t>1</w:t>
      </w:r>
      <w:r w:rsidRPr="000925AA">
        <w:rPr>
          <w:rFonts w:ascii="Times New Roman" w:eastAsia="Times New Roman" w:hAnsi="Times New Roman" w:cs="Times New Roman"/>
          <w:color w:val="0E101A"/>
          <w:sz w:val="24"/>
          <w:szCs w:val="24"/>
          <w:lang w:val="en-US"/>
        </w:rPr>
        <w:t xml:space="preserve">H NMR data and PCA analysis also showed that it was possible to differentiate defatted and </w:t>
      </w:r>
      <w:r w:rsidRPr="000925AA">
        <w:rPr>
          <w:rFonts w:ascii="Times New Roman" w:eastAsia="Times New Roman" w:hAnsi="Times New Roman" w:cs="Times New Roman"/>
          <w:i/>
          <w:color w:val="0E101A"/>
          <w:sz w:val="24"/>
          <w:szCs w:val="24"/>
          <w:lang w:val="en-US"/>
        </w:rPr>
        <w:t>in</w:t>
      </w:r>
      <w:r w:rsidRPr="000925AA">
        <w:rPr>
          <w:rFonts w:ascii="Times New Roman" w:eastAsia="Times New Roman" w:hAnsi="Times New Roman" w:cs="Times New Roman"/>
          <w:color w:val="0E101A"/>
          <w:sz w:val="24"/>
          <w:szCs w:val="24"/>
          <w:lang w:val="en-US"/>
        </w:rPr>
        <w:t xml:space="preserve"> </w:t>
      </w:r>
      <w:r w:rsidRPr="000925AA">
        <w:rPr>
          <w:rFonts w:ascii="Times New Roman" w:eastAsia="Times New Roman" w:hAnsi="Times New Roman" w:cs="Times New Roman"/>
          <w:i/>
          <w:color w:val="0E101A"/>
          <w:sz w:val="24"/>
          <w:szCs w:val="24"/>
          <w:lang w:val="en-US"/>
        </w:rPr>
        <w:t>natura</w:t>
      </w:r>
      <w:r w:rsidRPr="000925AA">
        <w:rPr>
          <w:rFonts w:ascii="Times New Roman" w:eastAsia="Times New Roman" w:hAnsi="Times New Roman" w:cs="Times New Roman"/>
          <w:color w:val="0E101A"/>
          <w:sz w:val="24"/>
          <w:szCs w:val="24"/>
          <w:lang w:val="en-US"/>
        </w:rPr>
        <w:t xml:space="preserve"> grains. The authors thank the support from their institutions and the financial support of ANP/FINEP for the PRH program, especially PRH-1.1</w:t>
      </w:r>
    </w:p>
    <w:p w14:paraId="659E6656" w14:textId="77777777" w:rsidR="00C72DD5" w:rsidRPr="000925AA" w:rsidRDefault="00000000">
      <w:pPr>
        <w:spacing w:before="240" w:after="240"/>
        <w:rPr>
          <w:rFonts w:ascii="Times New Roman" w:eastAsia="Times New Roman" w:hAnsi="Times New Roman" w:cs="Times New Roman"/>
          <w:i/>
          <w:lang w:val="en-US"/>
        </w:rPr>
      </w:pPr>
      <w:r w:rsidRPr="000925AA">
        <w:rPr>
          <w:rFonts w:ascii="Times New Roman" w:eastAsia="Times New Roman" w:hAnsi="Times New Roman" w:cs="Times New Roman"/>
          <w:b/>
          <w:i/>
          <w:sz w:val="20"/>
          <w:szCs w:val="20"/>
          <w:lang w:val="en-US"/>
        </w:rPr>
        <w:t>Keywords:</w:t>
      </w:r>
      <w:r w:rsidRPr="000925AA">
        <w:rPr>
          <w:rFonts w:ascii="Times New Roman" w:eastAsia="Times New Roman" w:hAnsi="Times New Roman" w:cs="Times New Roman"/>
          <w:i/>
          <w:sz w:val="20"/>
          <w:szCs w:val="20"/>
          <w:lang w:val="en-US"/>
        </w:rPr>
        <w:t xml:space="preserve"> Sorghum bicolor, bioethanol, chemometrics, </w:t>
      </w:r>
      <w:r w:rsidRPr="000925AA">
        <w:rPr>
          <w:rFonts w:ascii="Times New Roman" w:eastAsia="Times New Roman" w:hAnsi="Times New Roman" w:cs="Times New Roman"/>
          <w:i/>
          <w:sz w:val="20"/>
          <w:szCs w:val="20"/>
          <w:vertAlign w:val="superscript"/>
          <w:lang w:val="en-US"/>
        </w:rPr>
        <w:t>1</w:t>
      </w:r>
      <w:r w:rsidRPr="000925AA">
        <w:rPr>
          <w:rFonts w:ascii="Times New Roman" w:eastAsia="Times New Roman" w:hAnsi="Times New Roman" w:cs="Times New Roman"/>
          <w:i/>
          <w:sz w:val="20"/>
          <w:szCs w:val="20"/>
          <w:lang w:val="en-US"/>
        </w:rPr>
        <w:t>H NMR-based metabolomics, bioenergy, biomass</w:t>
      </w:r>
    </w:p>
    <w:sectPr w:rsidR="00C72DD5" w:rsidRPr="000925AA">
      <w:headerReference w:type="default" r:id="rId7"/>
      <w:footerReference w:type="default" r:id="rId8"/>
      <w:pgSz w:w="11909" w:h="16834"/>
      <w:pgMar w:top="2125" w:right="1440" w:bottom="1440" w:left="1440" w:header="170"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521DD" w14:textId="77777777" w:rsidR="00A0598F" w:rsidRDefault="00A0598F">
      <w:pPr>
        <w:spacing w:line="240" w:lineRule="auto"/>
      </w:pPr>
      <w:r>
        <w:separator/>
      </w:r>
    </w:p>
  </w:endnote>
  <w:endnote w:type="continuationSeparator" w:id="0">
    <w:p w14:paraId="3BB54C73" w14:textId="77777777" w:rsidR="00A0598F" w:rsidRDefault="00A059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unito">
    <w:charset w:val="00"/>
    <w:family w:val="auto"/>
    <w:pitch w:val="variable"/>
    <w:sig w:usb0="A00002FF" w:usb1="5000204B" w:usb2="00000000" w:usb3="00000000" w:csb0="00000197" w:csb1="00000000"/>
    <w:embedRegular r:id="rId1" w:fontKey="{0ADD0488-EA92-41C6-8BF7-0ED25DBC88B5}"/>
    <w:embedItalic r:id="rId2" w:fontKey="{56AD12DB-1EA7-44EF-86AD-C5CBC558DF99}"/>
    <w:embedBoldItalic r:id="rId3" w:fontKey="{9CE7B88E-7384-4294-8A49-F58BA48BC60D}"/>
  </w:font>
  <w:font w:name="Calibri">
    <w:panose1 w:val="020F0502020204030204"/>
    <w:charset w:val="00"/>
    <w:family w:val="swiss"/>
    <w:pitch w:val="variable"/>
    <w:sig w:usb0="E4002EFF" w:usb1="C200247B" w:usb2="00000009" w:usb3="00000000" w:csb0="000001FF" w:csb1="00000000"/>
    <w:embedRegular r:id="rId4" w:fontKey="{45E81E8D-00C7-455B-B326-80D916767286}"/>
  </w:font>
  <w:font w:name="Cambria">
    <w:panose1 w:val="02040503050406030204"/>
    <w:charset w:val="00"/>
    <w:family w:val="roman"/>
    <w:pitch w:val="variable"/>
    <w:sig w:usb0="E00006FF" w:usb1="420024FF" w:usb2="02000000" w:usb3="00000000" w:csb0="0000019F" w:csb1="00000000"/>
    <w:embedRegular r:id="rId5" w:fontKey="{6EFFA19E-BA22-4DE0-96DB-25CEBC27FD7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4B4D7" w14:textId="77777777" w:rsidR="00C72DD5" w:rsidRDefault="00C72D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A4CC3" w14:textId="77777777" w:rsidR="00A0598F" w:rsidRDefault="00A0598F">
      <w:pPr>
        <w:spacing w:line="240" w:lineRule="auto"/>
      </w:pPr>
      <w:r>
        <w:separator/>
      </w:r>
    </w:p>
  </w:footnote>
  <w:footnote w:type="continuationSeparator" w:id="0">
    <w:p w14:paraId="2A228FE8" w14:textId="77777777" w:rsidR="00A0598F" w:rsidRDefault="00A0598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4ED2" w14:textId="77777777" w:rsidR="00C72DD5" w:rsidRDefault="00000000">
    <w:r>
      <w:pict w14:anchorId="57F11D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78.85pt;margin-top:556.7pt;width:609.15pt;height:182.75pt;z-index:-251658752;mso-position-horizontal:absolute;mso-position-horizontal-relative:margin;mso-position-vertical:absolute;mso-position-vertical-relative:margin">
          <v:imagedata r:id="rId1" o:title="image2"/>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DD5"/>
    <w:rsid w:val="000925AA"/>
    <w:rsid w:val="004E46C1"/>
    <w:rsid w:val="008E240D"/>
    <w:rsid w:val="00A0598F"/>
    <w:rsid w:val="00B93AF3"/>
    <w:rsid w:val="00C72DD5"/>
    <w:rsid w:val="00DA351E"/>
    <w:rsid w:val="00EC5D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D857BE"/>
  <w15:docId w15:val="{571F2920-DB66-4F73-B682-8EB1C7BD6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395</Words>
  <Characters>2323</Characters>
  <Application>Microsoft Office Word</Application>
  <DocSecurity>0</DocSecurity>
  <Lines>35</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Pinheiro Pimenta</dc:creator>
  <cp:lastModifiedBy>Lucia Pinheiro Pimenta</cp:lastModifiedBy>
  <cp:revision>3</cp:revision>
  <dcterms:created xsi:type="dcterms:W3CDTF">2025-01-14T14:47:00Z</dcterms:created>
  <dcterms:modified xsi:type="dcterms:W3CDTF">2025-01-14T17:51:00Z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ac9394c1eeb1df33eae342e21d315108405e22be30a2716c86e7948e2e2927e7</vt:lpwstr>
  </property>
</Properties>
</file>